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646</w:t>
      </w:r>
    </w:p>
    <w:p>
      <w:r>
        <w:t>Bundesgericht (BGE), 2012-08-15, FR</w:t>
      </w:r>
    </w:p>
    <w:p>
      <w:r>
        <w:rPr>
          <w:b/>
        </w:rPr>
        <w:t xml:space="preserve">Quelle: </w:t>
      </w:r>
      <w:r>
        <w:t>https://mcp.opencaselaw.ch/entscheid/bge_138 III 646</w:t>
      </w:r>
    </w:p>
    <w:p>
      <w:r>
        <w:t>FR: ATF 138 III 646</w:t>
      </w:r>
    </w:p>
    <w:p>
      <w:r>
        <w:t>IT: DTF 138 III 646</w:t>
      </w:r>
    </w:p>
    <w:p>
      <w:pPr>
        <w:pStyle w:val="Heading2"/>
      </w:pPr>
      <w:r>
        <w:t>Regeste</w:t>
      </w:r>
    </w:p>
    <w:p>
      <w:r>
        <w:t>Regeste Abgrenzung der Zuständigkeiten zwischen dem Eheschutzgericht und dem Massnahmengericht; Präzisierung der Rechtsprechung. Die vom Eheschutzgericht angeordneten Massnahmen dauern so lange fort, bis sie das Massnahmengericht abändert. Sofern kein Zuständigkeitskonflikt besteht, kann der Entscheid des Eheschutzgerichts sogar ergehen, nachdem die Scheidung rechtshängig gemacht wurde (E. 3).</w:t>
      </w:r>
    </w:p>
    <w:p>
      <w:pPr>
        <w:pStyle w:val="Heading2"/>
      </w:pPr>
      <w:r>
        <w:t>Erwägungen</w:t>
      </w:r>
    </w:p>
    <w:p>
      <w:r>
        <w:rPr>
          <w:b/>
        </w:rPr>
        <w:t>E. 3.1</w:t>
      </w:r>
    </w:p>
    <w:p>
      <w:r>
        <w:t>La recourante sollicite avant tout une interprétation de l'arrêt 5A_139/2010, rendu le 13 juillet 2010 par la Cour de céans, estimant que cette jurisprudence créerait une confusion dans la répartition des compétences du juge des mesures protectrices et de celui du divorce. Soutenant que, dans l'hypothèse où le Tribunal fédéral devait considérer, au regard de ce dernier arrêt, que les mesures protectrices ordonnées par les tribunaux du canton de Schwyz ne perdureraient pas au-delà de l'ouverture de l'action en divorce formée le 4 juillet 2009, la recourante affirme que la décision entreprise devrait alors être réformée en ce sens qu'une contribution d'entretien lui soit accordée par voie de mesures provisionnelles avec effet rétroactif au jour du dépôt de la demande en divorce.</w:t>
      </w:r>
    </w:p>
    <w:p>
      <w:r>
        <w:rPr>
          <w:b/>
        </w:rPr>
        <w:t>E. 3.2</w:t>
      </w:r>
    </w:p>
    <w:p>
      <w:r>
        <w:t>Le magistrat cantonal a jugé à cet égard que la jurisprudence invoquée par la recourante ne remettait pas en cause la jurisprudence constante du Tribunal fédéral selon laquelle, lorsque la compétence du juge des mesures protectrices de l'union conjugale a été fondée avant l'introduction de l'action en divorce, mais que la décision ne peut être rendue qu'après l'ouverture de l'action, les mesures protectrices de l'union conjugale restent en vigueur tant qu'elles n'ont pas été révoquées ou modifiées par le juge des mesures provisoires ( ATF 129 III 60 consid. 3; ATF 101 II 1 ). Dès lors que les conditions d'une modification des mesures protectrices n'étaient pas réalisées en l'espèce, la décision de mesures protectrices rendue le 20 juillet 2009 demeurait en vigueur, l'époux étant contraint de verser à la recourante une contribution mensuelle d'un montant de 11'200 fr.</w:t>
      </w:r>
    </w:p>
    <w:p>
      <w:r>
        <w:rPr>
          <w:b/>
        </w:rPr>
        <w:t>E. 3.3.1</w:t>
      </w:r>
    </w:p>
    <w:p>
      <w:r>
        <w:t>La recourante dispose d'un intérêt à ce que la question soit clarifiée dès lors que, si la solution développée par le juge cantonal vaudois n'est pas suivie et que l'on s'en tient à l'arrêt 5A_139/2010, l'épouse aurait droit à sa pension de 11'200 fr. jusqu'au 4 juin 2009 seulement, date de l'ouverture de l'action en divorce. L'intimé pourrait ainsi prétendre ne pas avoir d'obligation de verser une contribution d'entretien au-delà de cette dernière date.</w:t>
      </w:r>
    </w:p>
    <w:p>
      <w:r>
        <w:rPr>
          <w:b/>
        </w:rPr>
        <w:t>E. 3.3.2</w:t>
      </w:r>
    </w:p>
    <w:p>
      <w:r>
        <w:t>Dans l' ATF 129 III 60 , le Tribunal de céans a délimité les compétences respectives du juge des mesures protectrices et de celui des mesures provisionnelles lorsque l'action en divorce est introduite. Il BGE 138 III 646 S. 649 a tout d'abord rappelé les principes déjà dégagés par la jurisprudence et toujours applicables: le juge des mesures protectrices est compétent pour la période antérieure à la litispendance de l'action en divorce, tandis que le juge des mesures provisionnelles l'est dès ce moment précis; les mesures protectrices ordonnées avant la litispendance continuent toutefois de déployer leurs effets tant que le juge des mesures provisionnelles ne les a pas modifiées (consid. 2). Dans cet arrêt de principe, le Tribunal fédéral a ensuite tranché la question du sort de la procédure de mesures protectrices lorsque le juge des mesures provisionnelles est saisi: la procédure de mesures protectrices ne devient pas sans objet, le juge des mesures protectrices demeurant en effet compétent pour la période antérieure à la litispendance, et ce, même s'il ne rend sa décision que postérieurement (consid. 3). Dans l'arrêt 5A_139/2010, le Tribunal fédéral a considéré qu'il n'était pas arbitraire d'admettre l'incompétence du juge saisi d'une requête de modification des mesures protectrices introduite quelques jours seulement avant l'ouverture de l'action en divorce, la recourante n'ayant effectivement pas d'intérêt à obtenir une modification pour une durée de quelques jours (consid. 2.5). Le résumé de l' ATF 129 III 60 figurant au consid. 2.3 est cependant erroné. En vertu de la jurisprudence publiée aux ATF, la décision de mesures protectrices déploie ses effets - au-delà de la litispendance - jusqu'à ce que le juge des mesures provisionnelles l'ait modifiée ( ATF 101 II 1 p. 3 cité dans l' ATF 129 III 60 consid. 2); s'il n'y a pas de conflit de compétences, il importe peu que, en raison du temps nécessaire au traitement du dossier par le tribunal, la décision de mesures protectrices ait ainsi été rendue avant ou après la litispendance de l'action en divorce. Dès lors que, sous réserve du sort du présent recours examiné ci-après, le juge des mesures provisionnelles a rejeté les requêtes présentées par les époux, la contribution due par l'intimé à la recourante demeure régie par la décision de mesures protectrices de l'union conjugale du 20 juillet 2009, dite décision le condamnant à verser 11'200 fr. à l'intéressée.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